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0B2F4" w14:textId="77777777" w:rsidR="00CE7EB2" w:rsidRDefault="00CE7EB2" w:rsidP="00CE7EB2">
      <w:pPr>
        <w:pStyle w:val="Nagwek2"/>
        <w:rPr>
          <w:rFonts w:eastAsia="Calibri"/>
        </w:rPr>
      </w:pPr>
      <w:r w:rsidRPr="003A7C6B">
        <w:rPr>
          <w:rFonts w:eastAsia="Calibri"/>
        </w:rPr>
        <w:t xml:space="preserve">Dostawa </w:t>
      </w:r>
      <w:r>
        <w:rPr>
          <w:rFonts w:eastAsia="Calibri"/>
        </w:rPr>
        <w:t>diatermii chirurgicznej do resektoskopii</w:t>
      </w:r>
    </w:p>
    <w:p w14:paraId="19EDE534" w14:textId="77777777" w:rsidR="00CE7EB2" w:rsidRPr="00232C3C" w:rsidRDefault="00CE7EB2" w:rsidP="00CE7EB2">
      <w:pPr>
        <w:spacing w:after="0"/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6"/>
        <w:gridCol w:w="9775"/>
        <w:gridCol w:w="1522"/>
        <w:gridCol w:w="1172"/>
        <w:gridCol w:w="2693"/>
      </w:tblGrid>
      <w:tr w:rsidR="00CE7EB2" w:rsidRPr="00B87B56" w14:paraId="6178794D" w14:textId="77777777" w:rsidTr="00E67860">
        <w:trPr>
          <w:cantSplit/>
          <w:trHeight w:val="284"/>
          <w:tblHeader/>
        </w:trPr>
        <w:tc>
          <w:tcPr>
            <w:tcW w:w="426" w:type="dxa"/>
            <w:vAlign w:val="center"/>
          </w:tcPr>
          <w:p w14:paraId="567EB5F6" w14:textId="77777777" w:rsidR="00CE7EB2" w:rsidRPr="00AC54C3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C54C3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9775" w:type="dxa"/>
            <w:vAlign w:val="center"/>
          </w:tcPr>
          <w:p w14:paraId="56176F70" w14:textId="77777777"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7B56">
              <w:rPr>
                <w:rFonts w:ascii="Tahoma" w:hAnsi="Tahoma" w:cs="Tahoma"/>
                <w:b/>
                <w:sz w:val="18"/>
                <w:szCs w:val="18"/>
              </w:rPr>
              <w:t>Parametry</w:t>
            </w:r>
          </w:p>
        </w:tc>
        <w:tc>
          <w:tcPr>
            <w:tcW w:w="1522" w:type="dxa"/>
            <w:vAlign w:val="center"/>
          </w:tcPr>
          <w:p w14:paraId="5C1B0A0E" w14:textId="77777777"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7B56">
              <w:rPr>
                <w:rFonts w:ascii="Tahoma" w:hAnsi="Tahoma" w:cs="Tahoma"/>
                <w:b/>
                <w:sz w:val="18"/>
                <w:szCs w:val="18"/>
              </w:rPr>
              <w:t>Parametr wymagany</w:t>
            </w:r>
          </w:p>
        </w:tc>
        <w:tc>
          <w:tcPr>
            <w:tcW w:w="1172" w:type="dxa"/>
            <w:vAlign w:val="center"/>
          </w:tcPr>
          <w:p w14:paraId="145DAA48" w14:textId="77777777"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7B56">
              <w:rPr>
                <w:rFonts w:ascii="Tahoma" w:hAnsi="Tahoma" w:cs="Tahoma"/>
                <w:b/>
                <w:sz w:val="18"/>
                <w:szCs w:val="18"/>
              </w:rPr>
              <w:t>Punktacja</w:t>
            </w:r>
          </w:p>
        </w:tc>
        <w:tc>
          <w:tcPr>
            <w:tcW w:w="2693" w:type="dxa"/>
            <w:vAlign w:val="center"/>
          </w:tcPr>
          <w:p w14:paraId="685A54E9" w14:textId="77777777" w:rsidR="00CE7EB2" w:rsidRPr="00727498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27498">
              <w:rPr>
                <w:rFonts w:ascii="Tahoma" w:hAnsi="Tahoma" w:cs="Tahoma"/>
                <w:b/>
                <w:sz w:val="18"/>
                <w:szCs w:val="18"/>
              </w:rPr>
              <w:t>Potwierdzenie parametr</w:t>
            </w:r>
            <w:r w:rsidRPr="00727498">
              <w:rPr>
                <w:rFonts w:ascii="Tahoma" w:hAnsi="Tahoma" w:cs="Tahoma" w:hint="eastAsia"/>
                <w:b/>
                <w:sz w:val="18"/>
                <w:szCs w:val="18"/>
              </w:rPr>
              <w:t>ó</w:t>
            </w:r>
            <w:r w:rsidRPr="00727498">
              <w:rPr>
                <w:rFonts w:ascii="Tahoma" w:hAnsi="Tahoma" w:cs="Tahoma"/>
                <w:b/>
                <w:sz w:val="18"/>
                <w:szCs w:val="18"/>
              </w:rPr>
              <w:t>w</w:t>
            </w:r>
          </w:p>
          <w:p w14:paraId="6C7856CB" w14:textId="77777777" w:rsidR="00CE7EB2" w:rsidRPr="00727498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27498">
              <w:rPr>
                <w:rFonts w:ascii="Tahoma" w:hAnsi="Tahoma" w:cs="Tahoma"/>
                <w:b/>
                <w:sz w:val="18"/>
                <w:szCs w:val="18"/>
              </w:rPr>
              <w:t>wymaganych poprzez</w:t>
            </w:r>
          </w:p>
          <w:p w14:paraId="5FA69604" w14:textId="77777777" w:rsidR="00CE7EB2" w:rsidRPr="00727498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27498">
              <w:rPr>
                <w:rFonts w:ascii="Tahoma" w:hAnsi="Tahoma" w:cs="Tahoma"/>
                <w:b/>
                <w:sz w:val="18"/>
                <w:szCs w:val="18"/>
              </w:rPr>
              <w:t>wpisanie s</w:t>
            </w:r>
            <w:r w:rsidRPr="00727498">
              <w:rPr>
                <w:rFonts w:ascii="Tahoma" w:hAnsi="Tahoma" w:cs="Tahoma" w:hint="eastAsia"/>
                <w:b/>
                <w:sz w:val="18"/>
                <w:szCs w:val="18"/>
              </w:rPr>
              <w:t>ł</w:t>
            </w:r>
            <w:r w:rsidRPr="00727498">
              <w:rPr>
                <w:rFonts w:ascii="Tahoma" w:hAnsi="Tahoma" w:cs="Tahoma"/>
                <w:b/>
                <w:sz w:val="18"/>
                <w:szCs w:val="18"/>
              </w:rPr>
              <w:t xml:space="preserve">owa </w:t>
            </w:r>
            <w:r w:rsidRPr="00727498">
              <w:rPr>
                <w:rFonts w:ascii="Tahoma" w:hAnsi="Tahoma" w:cs="Tahoma" w:hint="eastAsia"/>
                <w:b/>
                <w:sz w:val="18"/>
                <w:szCs w:val="18"/>
              </w:rPr>
              <w:t>„</w:t>
            </w:r>
            <w:r w:rsidRPr="00727498">
              <w:rPr>
                <w:rFonts w:ascii="Tahoma" w:hAnsi="Tahoma" w:cs="Tahoma"/>
                <w:b/>
                <w:sz w:val="18"/>
                <w:szCs w:val="18"/>
              </w:rPr>
              <w:t>Tak</w:t>
            </w:r>
            <w:r w:rsidRPr="00727498">
              <w:rPr>
                <w:rFonts w:ascii="Tahoma" w:hAnsi="Tahoma" w:cs="Tahoma" w:hint="eastAsia"/>
                <w:b/>
                <w:sz w:val="18"/>
                <w:szCs w:val="18"/>
              </w:rPr>
              <w:t>”</w:t>
            </w:r>
            <w:r w:rsidRPr="00727498">
              <w:rPr>
                <w:rFonts w:ascii="Tahoma" w:hAnsi="Tahoma" w:cs="Tahoma"/>
                <w:b/>
                <w:sz w:val="18"/>
                <w:szCs w:val="18"/>
              </w:rPr>
              <w:t xml:space="preserve"> lub</w:t>
            </w:r>
          </w:p>
          <w:p w14:paraId="14D6036E" w14:textId="77777777" w:rsidR="00CE7EB2" w:rsidRPr="00727498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27498">
              <w:rPr>
                <w:rFonts w:ascii="Tahoma" w:hAnsi="Tahoma" w:cs="Tahoma"/>
                <w:b/>
                <w:sz w:val="18"/>
                <w:szCs w:val="18"/>
              </w:rPr>
              <w:t>informacja o oferowanym</w:t>
            </w:r>
          </w:p>
          <w:p w14:paraId="714E3C9E" w14:textId="77777777"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27498">
              <w:rPr>
                <w:rFonts w:ascii="Tahoma" w:hAnsi="Tahoma" w:cs="Tahoma"/>
                <w:b/>
                <w:sz w:val="18"/>
                <w:szCs w:val="18"/>
              </w:rPr>
              <w:t>parametrze</w:t>
            </w:r>
          </w:p>
        </w:tc>
      </w:tr>
      <w:tr w:rsidR="00CE7EB2" w:rsidRPr="00B87B56" w14:paraId="54794A93" w14:textId="77777777" w:rsidTr="00E67860">
        <w:trPr>
          <w:trHeight w:val="284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65D25B35" w14:textId="77777777" w:rsidR="00CE7EB2" w:rsidRPr="00AC54C3" w:rsidRDefault="00CE7EB2" w:rsidP="00E67860">
            <w:pPr>
              <w:tabs>
                <w:tab w:val="center" w:pos="4536"/>
                <w:tab w:val="right" w:pos="9072"/>
              </w:tabs>
              <w:snapToGrid w:val="0"/>
              <w:spacing w:before="0" w:after="0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shd w:val="clear" w:color="auto" w:fill="D9E2F3" w:themeFill="accent1" w:themeFillTint="33"/>
            <w:vAlign w:val="center"/>
          </w:tcPr>
          <w:p w14:paraId="5201F118" w14:textId="77777777" w:rsidR="00CE7EB2" w:rsidRPr="00B87B56" w:rsidRDefault="00CE7EB2" w:rsidP="00E67860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WYMAGANIA OGÓLNE</w:t>
            </w:r>
          </w:p>
        </w:tc>
        <w:tc>
          <w:tcPr>
            <w:tcW w:w="1522" w:type="dxa"/>
            <w:shd w:val="clear" w:color="auto" w:fill="D9E2F3" w:themeFill="accent1" w:themeFillTint="33"/>
            <w:vAlign w:val="center"/>
          </w:tcPr>
          <w:p w14:paraId="2F8B14B0" w14:textId="77777777"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2" w:type="dxa"/>
            <w:shd w:val="clear" w:color="auto" w:fill="D9E2F3" w:themeFill="accent1" w:themeFillTint="33"/>
            <w:vAlign w:val="center"/>
          </w:tcPr>
          <w:p w14:paraId="05A57E28" w14:textId="77777777"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38E56C52" w14:textId="77777777" w:rsidR="00CE7EB2" w:rsidRPr="00B87B56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1B2FC39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C2EB980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378F4402" w14:textId="77777777" w:rsidR="00CE7EB2" w:rsidRPr="00FB30BA" w:rsidRDefault="00CE7EB2" w:rsidP="00E67860">
            <w:pPr>
              <w:spacing w:before="0"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FB30BA">
              <w:rPr>
                <w:rFonts w:ascii="Tahoma" w:eastAsia="Calibri" w:hAnsi="Tahoma" w:cs="Tahoma"/>
                <w:sz w:val="18"/>
                <w:szCs w:val="18"/>
              </w:rPr>
              <w:t>Diatermia elektrochirurgiczna z systemem zamykania dużych naczyń – 1 szt.</w:t>
            </w:r>
          </w:p>
          <w:p w14:paraId="0E30D8C5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  <w:lang w:eastAsia="zh-CN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Diatermia dużej mocy mono i bipolarna z funkcją zamykania dużych naczyń, do pracy w środowisku mokrym (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resektoskopia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monopolarna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i bipolarna), tryby pracy w soli fizjologicznej</w:t>
            </w:r>
          </w:p>
        </w:tc>
        <w:tc>
          <w:tcPr>
            <w:tcW w:w="1522" w:type="dxa"/>
            <w:vAlign w:val="center"/>
          </w:tcPr>
          <w:p w14:paraId="02F8C175" w14:textId="77777777" w:rsidR="00CE7EB2" w:rsidRPr="00E93E01" w:rsidRDefault="00CE7EB2" w:rsidP="00E67860">
            <w:pPr>
              <w:suppressAutoHyphens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60ED">
              <w:rPr>
                <w:rFonts w:ascii="Tahoma" w:hAnsi="Tahoma" w:cs="Tahoma"/>
                <w:sz w:val="18"/>
                <w:szCs w:val="18"/>
              </w:rPr>
              <w:t>Tak / Podać</w:t>
            </w:r>
            <w:r>
              <w:rPr>
                <w:rFonts w:ascii="Tahoma" w:hAnsi="Tahoma" w:cs="Tahoma"/>
                <w:sz w:val="18"/>
                <w:szCs w:val="18"/>
              </w:rPr>
              <w:t xml:space="preserve"> typ i producenta</w:t>
            </w:r>
          </w:p>
        </w:tc>
        <w:tc>
          <w:tcPr>
            <w:tcW w:w="1172" w:type="dxa"/>
            <w:vAlign w:val="center"/>
          </w:tcPr>
          <w:p w14:paraId="1C224859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A3E4391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23BD226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7A82FBC8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0E022936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Kolorowy ekran dotykowy do komunikacji z użytkownikiem o przekątnej min. 10 cali, oprogramowanie do obsługi w języku polskim</w:t>
            </w:r>
          </w:p>
        </w:tc>
        <w:tc>
          <w:tcPr>
            <w:tcW w:w="1522" w:type="dxa"/>
            <w:vAlign w:val="center"/>
          </w:tcPr>
          <w:p w14:paraId="03F3B258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60ED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370D9683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F53F071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0560AE4F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7BF9F75C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3F93727E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eastAsia="Calibri" w:hAnsi="Tahoma" w:cs="Tahoma"/>
                <w:color w:val="000000"/>
                <w:sz w:val="18"/>
                <w:szCs w:val="18"/>
              </w:rPr>
              <w:t>Wyświetlanie parametrów pracy czyli nastaw wyłącznie dla aktualnie używanego narzędzia czyli aktywnego gniazda</w:t>
            </w:r>
          </w:p>
        </w:tc>
        <w:tc>
          <w:tcPr>
            <w:tcW w:w="1522" w:type="dxa"/>
            <w:vAlign w:val="center"/>
          </w:tcPr>
          <w:p w14:paraId="169C1F2C" w14:textId="77777777" w:rsidR="00CE7EB2" w:rsidRPr="00E93E01" w:rsidRDefault="00CE7EB2" w:rsidP="00E67860">
            <w:pPr>
              <w:suppressAutoHyphens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D23D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7E6494D3" w14:textId="77777777" w:rsidR="00CE7EB2" w:rsidRPr="00E93E01" w:rsidRDefault="00CE7EB2" w:rsidP="00E67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3AE6B8B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08FE898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690BB515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012EE32A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Możliwość diagnozowania oraz wgrywania dostępnego oprogramowania przez sieć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WiFi</w:t>
            </w:r>
            <w:proofErr w:type="spellEnd"/>
          </w:p>
        </w:tc>
        <w:tc>
          <w:tcPr>
            <w:tcW w:w="1522" w:type="dxa"/>
            <w:vAlign w:val="center"/>
          </w:tcPr>
          <w:p w14:paraId="7ECD716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D23D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2A83C679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C61D75E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393BCF35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5BDAF8F1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7A8D1AC7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zapamiętania min. 100 programów / kompletów nastaw i zapisania ich po nazwą użytkownika lub procedury</w:t>
            </w:r>
          </w:p>
        </w:tc>
        <w:tc>
          <w:tcPr>
            <w:tcW w:w="1522" w:type="dxa"/>
            <w:vAlign w:val="center"/>
          </w:tcPr>
          <w:p w14:paraId="12492D58" w14:textId="77777777" w:rsidR="00CE7EB2" w:rsidRPr="00E93E01" w:rsidRDefault="00CE7EB2" w:rsidP="00E67860">
            <w:pPr>
              <w:suppressAutoHyphens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A7AA6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1C5D55EC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3B6071D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1CB12B62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688FEC4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10A28F3B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zmiany programu przez operatora w czasie zabiegu za pomocą kombinacji przycisków cięcie/koagulacja oraz wyłącznika nożnego posiadającego przycisk zmiany programów oraz z ekranu diatermii. Możliwość zmiany min. 3 wcześniej zaprogramowanych kompletów nastaw za pomocą wyłącznika nożnego, z ekranu urządzenia i za pomocą uchwytu</w:t>
            </w:r>
          </w:p>
        </w:tc>
        <w:tc>
          <w:tcPr>
            <w:tcW w:w="1522" w:type="dxa"/>
            <w:vAlign w:val="center"/>
          </w:tcPr>
          <w:p w14:paraId="475D7EBC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A7AA6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68D3C3E4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F0EFA9D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4CBED08C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53DA19FB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712381AE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Sterowanie urządzeniem za pomocą wyboru efektów tkankowych. Dozowanie mocy i innych parametrów prądu przez 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lastRenderedPageBreak/>
              <w:t>urządzenie w całkowicie automatyczny sposób tak aby był zachowany nastawiony efekt tkankowy. Nie dopuszcza się możliwości regulacji aparatu przez nastawianie mocy wyjściowej</w:t>
            </w:r>
          </w:p>
        </w:tc>
        <w:tc>
          <w:tcPr>
            <w:tcW w:w="1522" w:type="dxa"/>
            <w:vAlign w:val="center"/>
          </w:tcPr>
          <w:p w14:paraId="7A32E5B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172" w:type="dxa"/>
            <w:vAlign w:val="center"/>
          </w:tcPr>
          <w:p w14:paraId="0DA2D6A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B126BD0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19131D60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F53575C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4B4B4FB8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Automatyczne ustawienie parametrów pracy przy podłączeniu instrumentów. Ekran wskazujący parametry pracy aktualnie używanego instrumentu</w:t>
            </w:r>
          </w:p>
        </w:tc>
        <w:tc>
          <w:tcPr>
            <w:tcW w:w="1522" w:type="dxa"/>
            <w:vAlign w:val="center"/>
          </w:tcPr>
          <w:p w14:paraId="233E23E1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21F3470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CF7CA28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2366B983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0D5AB23C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14:paraId="6B7470C6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Dwie różne funkcje zamykania dużych naczyń z automatycznym startem po prawidłowej aplikacji instrumentu z regulowanym czasem zwłoki oraz automatycznym wyłączeniem po osiągnięciu zamknięcia naczyń. Regulacja intensywności pracy dla obu funkcji.</w:t>
            </w:r>
          </w:p>
        </w:tc>
        <w:tc>
          <w:tcPr>
            <w:tcW w:w="1522" w:type="dxa"/>
            <w:vAlign w:val="center"/>
          </w:tcPr>
          <w:p w14:paraId="6D1758FC" w14:textId="77777777" w:rsidR="00CE7EB2" w:rsidRPr="00E93E01" w:rsidRDefault="00CE7EB2" w:rsidP="00E67860">
            <w:pPr>
              <w:pStyle w:val="Standard"/>
              <w:spacing w:before="0"/>
              <w:jc w:val="center"/>
              <w:rPr>
                <w:rFonts w:ascii="Tahoma" w:eastAsia="SimSun" w:hAnsi="Tahoma" w:cs="Tahoma"/>
                <w:kern w:val="0"/>
                <w:sz w:val="18"/>
                <w:szCs w:val="18"/>
                <w:lang w:bidi="ar-SA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33BD9B88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C047E1C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61D3F1EC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36E7990D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6DE765FB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Dodatkowo możliwość aktywacji narzędzi do zamykania dużych naczyń  w tzw. Autostarcie oraz z wyłącznika nożnego i rękojeści jeśli posiadają do tego celu odpowiednie przyciski</w:t>
            </w:r>
          </w:p>
        </w:tc>
        <w:tc>
          <w:tcPr>
            <w:tcW w:w="1522" w:type="dxa"/>
            <w:vAlign w:val="center"/>
          </w:tcPr>
          <w:p w14:paraId="61403B5A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7831DE8F" w14:textId="77777777" w:rsidR="00CE7EB2" w:rsidRPr="00E93E01" w:rsidRDefault="00CE7EB2" w:rsidP="00E67860">
            <w:pPr>
              <w:spacing w:before="0" w:after="0"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C33FF40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10D86810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1AF4C301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3AE9AFCA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System kontroli aplikacji elektrody biernej wielorazowej i jednorazowej, wizualny wskaźnik stanu aplikacji elektrody biernej</w:t>
            </w:r>
          </w:p>
        </w:tc>
        <w:tc>
          <w:tcPr>
            <w:tcW w:w="1522" w:type="dxa"/>
            <w:vAlign w:val="center"/>
          </w:tcPr>
          <w:p w14:paraId="3209BB97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3A6E5637" w14:textId="77777777" w:rsidR="00CE7EB2" w:rsidRPr="00E93E01" w:rsidRDefault="00CE7EB2" w:rsidP="00E67860">
            <w:pPr>
              <w:spacing w:before="0" w:after="0"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5EE44F6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653209EF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591CE75B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44E47B14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Systemy kontroli pracy z komunikatami błędów w języku polskim</w:t>
            </w:r>
          </w:p>
        </w:tc>
        <w:tc>
          <w:tcPr>
            <w:tcW w:w="1522" w:type="dxa"/>
            <w:vAlign w:val="center"/>
          </w:tcPr>
          <w:p w14:paraId="0C52931F" w14:textId="77777777" w:rsidR="00CE7EB2" w:rsidRPr="00E93E01" w:rsidRDefault="00CE7EB2" w:rsidP="00E67860">
            <w:pPr>
              <w:pStyle w:val="Standard"/>
              <w:spacing w:before="0"/>
              <w:jc w:val="center"/>
              <w:rPr>
                <w:rFonts w:ascii="Tahoma" w:eastAsia="SimSun" w:hAnsi="Tahoma" w:cs="Tahoma"/>
                <w:kern w:val="0"/>
                <w:sz w:val="18"/>
                <w:szCs w:val="18"/>
                <w:lang w:bidi="ar-SA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56E2D278" w14:textId="77777777" w:rsidR="00CE7EB2" w:rsidRPr="00E93E01" w:rsidRDefault="00CE7EB2" w:rsidP="00E67860">
            <w:pPr>
              <w:spacing w:before="0" w:after="0"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6B12700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3ADA3BBF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BB3F4FC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51CA353F" w14:textId="77777777" w:rsidR="00CE7EB2" w:rsidRPr="00E93E01" w:rsidRDefault="00CE7EB2" w:rsidP="00E67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Dwa gniazda do podłączenia włączników nożnych na panelu tylnym diatermii</w:t>
            </w:r>
          </w:p>
        </w:tc>
        <w:tc>
          <w:tcPr>
            <w:tcW w:w="1522" w:type="dxa"/>
            <w:vAlign w:val="center"/>
          </w:tcPr>
          <w:p w14:paraId="55699996" w14:textId="77777777" w:rsidR="00CE7EB2" w:rsidRPr="00E93E01" w:rsidRDefault="00CE7EB2" w:rsidP="00E67860">
            <w:pPr>
              <w:pStyle w:val="Standard"/>
              <w:spacing w:before="0"/>
              <w:jc w:val="center"/>
              <w:rPr>
                <w:rFonts w:ascii="Tahoma" w:eastAsia="SimSun" w:hAnsi="Tahoma" w:cs="Tahoma"/>
                <w:kern w:val="0"/>
                <w:sz w:val="18"/>
                <w:szCs w:val="18"/>
                <w:lang w:bidi="ar-SA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4F35F851" w14:textId="77777777" w:rsidR="00CE7EB2" w:rsidRPr="00E93E01" w:rsidRDefault="00CE7EB2" w:rsidP="00E67860">
            <w:pPr>
              <w:pStyle w:val="Standard"/>
              <w:spacing w:before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48419AF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0A7F963B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6132DAD0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770141E3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współpracy z modułem do preparowania tkanek strumieniem soli fizjologicznej przy wykorzystaniu technik łączących cięcie i koagulację z techniką preparowania płynem</w:t>
            </w:r>
          </w:p>
        </w:tc>
        <w:tc>
          <w:tcPr>
            <w:tcW w:w="1522" w:type="dxa"/>
            <w:vAlign w:val="center"/>
          </w:tcPr>
          <w:p w14:paraId="0649A9F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530B0096" w14:textId="77777777" w:rsidR="00CE7EB2" w:rsidRPr="00E93E01" w:rsidRDefault="00CE7EB2" w:rsidP="00E67860">
            <w:pPr>
              <w:spacing w:before="0" w:after="0"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82264BD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C680DBF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5BB31AAA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0112E5AC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współpracy z pompą płuczącą</w:t>
            </w:r>
          </w:p>
        </w:tc>
        <w:tc>
          <w:tcPr>
            <w:tcW w:w="1522" w:type="dxa"/>
            <w:vAlign w:val="center"/>
          </w:tcPr>
          <w:p w14:paraId="4D0198E7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5153B035" w14:textId="77777777" w:rsidR="00CE7EB2" w:rsidRPr="00E93E01" w:rsidRDefault="00CE7EB2" w:rsidP="00E67860">
            <w:pPr>
              <w:spacing w:before="0" w:after="0"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29BC1D7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3D9970B2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3EE464E1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5AFED564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Możliwość używania jednocześnie min. 2 instrumentów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monopolarnych</w:t>
            </w:r>
            <w:proofErr w:type="spellEnd"/>
          </w:p>
        </w:tc>
        <w:tc>
          <w:tcPr>
            <w:tcW w:w="1522" w:type="dxa"/>
            <w:vAlign w:val="center"/>
          </w:tcPr>
          <w:p w14:paraId="7D4D4C5E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1977B9B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11BABC5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6B78422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285251F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08EDE28B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Moc cięcia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monopolarnego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.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400W z możliwością nastawienia min . 10 efektów tkankowych</w:t>
            </w:r>
          </w:p>
        </w:tc>
        <w:tc>
          <w:tcPr>
            <w:tcW w:w="1522" w:type="dxa"/>
            <w:vAlign w:val="center"/>
          </w:tcPr>
          <w:p w14:paraId="29189E87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30866514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EE08769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5932ACF6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79550702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4DFABEE7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Moc koagulacji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monopolarnej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.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200W z możliwością nastawienia min. 10 efektów tkankowych</w:t>
            </w:r>
          </w:p>
        </w:tc>
        <w:tc>
          <w:tcPr>
            <w:tcW w:w="1522" w:type="dxa"/>
            <w:vAlign w:val="center"/>
          </w:tcPr>
          <w:p w14:paraId="277A8268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21E9852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6A5296B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49AA71E1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082230F6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22BD0DCF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Cięcie bipolarne z mocą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.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300W z możliwością nastawienia min 10 efektów tkankowych</w:t>
            </w:r>
          </w:p>
        </w:tc>
        <w:tc>
          <w:tcPr>
            <w:tcW w:w="1522" w:type="dxa"/>
            <w:vAlign w:val="center"/>
          </w:tcPr>
          <w:p w14:paraId="49C779C4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04973D8E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92132E6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69E8D17E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2ADF93CA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5E35780F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Moc koagulacji bipolarnej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.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200 W z możliwością nastawienia min 10 efektów tkankowych</w:t>
            </w:r>
          </w:p>
        </w:tc>
        <w:tc>
          <w:tcPr>
            <w:tcW w:w="1522" w:type="dxa"/>
            <w:vAlign w:val="center"/>
          </w:tcPr>
          <w:p w14:paraId="444BC2D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297DD74B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BB92C64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4EF47CDF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23B9AE75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2566969F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Funkcja zamykania dużych naczyń z mocą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. 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350W</w:t>
            </w:r>
          </w:p>
        </w:tc>
        <w:tc>
          <w:tcPr>
            <w:tcW w:w="1522" w:type="dxa"/>
            <w:vAlign w:val="center"/>
          </w:tcPr>
          <w:p w14:paraId="6BAD1C9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6B2F9E7B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CDFC0CF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E2A69C9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14674F48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5A592F95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Minimum 3 rodzaje cięcia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monopolarnego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,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.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4 rodzaje koagulacji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monopolarnej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, min 2 rodzaje cięcia bipolarnego i min 2 rodzaje koagulacji bipolarnej, każdy z tych prądów powinien posiadać regulację min. 5 elektów tkankowych</w:t>
            </w:r>
          </w:p>
        </w:tc>
        <w:tc>
          <w:tcPr>
            <w:tcW w:w="1522" w:type="dxa"/>
            <w:vAlign w:val="center"/>
          </w:tcPr>
          <w:p w14:paraId="2A834A56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09C78B9A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7435BED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1DC60512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3C294A4B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1713E5E8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wymiany gniazd przyłączeniowych na gniazda o innych standardach wtyków samodzielnie przez użytkownika na sali operacyjnej bez konieczności działań serwisowych</w:t>
            </w:r>
          </w:p>
        </w:tc>
        <w:tc>
          <w:tcPr>
            <w:tcW w:w="1522" w:type="dxa"/>
            <w:vAlign w:val="center"/>
          </w:tcPr>
          <w:p w14:paraId="7167B3C5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2CC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32687923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CFC1532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000B024A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50BD3837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0622640F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Uniwersalne gniazdo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umożliwiające bezpośrednie tzn. bez żadnych dodatkowych łączników, adapterów itp. podłączenie przewodów w trzech różnych standardach:  z wtyczkami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jednopinowymi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4mm i 5mm oraz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trzypinowych</w:t>
            </w:r>
            <w:proofErr w:type="spellEnd"/>
          </w:p>
        </w:tc>
        <w:tc>
          <w:tcPr>
            <w:tcW w:w="1522" w:type="dxa"/>
            <w:vAlign w:val="center"/>
          </w:tcPr>
          <w:p w14:paraId="70655143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2CC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79EB71EB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87E4ADE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5C6FB887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16389FA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22B12566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Uniwersalne gniazdo bipolarne umożliwiające bezpośrednie tzn. bez żadnych dodatkowych łączników, adapterów itp. podłączenie przewodów w trzech różnych standardach: z pojedynczymi wtyczkami okrągłymi oraz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dwupinowych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o rozstawach 22mm i 28mm</w:t>
            </w:r>
          </w:p>
        </w:tc>
        <w:tc>
          <w:tcPr>
            <w:tcW w:w="1522" w:type="dxa"/>
            <w:vAlign w:val="center"/>
          </w:tcPr>
          <w:p w14:paraId="00F4788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2CC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3DC15911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D82C296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0FF5D1AD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506EA2F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3552F06E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Uniwersalne gniazdo elektrody neutralnej umożliwiające bezpośrednie podłączenie tzn. bez żadnych dodatkowych łączników, adapterów itp. przewodów w dwóch systemach wtyczek: okrągłe 1-pin śr. 6mm oraz płaska 2 pin</w:t>
            </w:r>
          </w:p>
        </w:tc>
        <w:tc>
          <w:tcPr>
            <w:tcW w:w="1522" w:type="dxa"/>
            <w:vAlign w:val="center"/>
          </w:tcPr>
          <w:p w14:paraId="49DE8041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2CC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77EB24B6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2EC57ED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3B54E69E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6479A4A0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29AD729B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Uniwersalne gniazdo do podłączenia osprzętu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monopolarnego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, bipolarnego i do zamykania naczyń  </w:t>
            </w:r>
          </w:p>
        </w:tc>
        <w:tc>
          <w:tcPr>
            <w:tcW w:w="1522" w:type="dxa"/>
            <w:vAlign w:val="center"/>
          </w:tcPr>
          <w:p w14:paraId="7E126E09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2CC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24144549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8B2B84B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63AB2FAE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3201F47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425CC581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Minimum 4 gniazda umożliwiające podłączanie instrumentów czynnych oraz 1 gniazdo elektrody neutralnej</w:t>
            </w:r>
          </w:p>
        </w:tc>
        <w:tc>
          <w:tcPr>
            <w:tcW w:w="1522" w:type="dxa"/>
            <w:vAlign w:val="center"/>
          </w:tcPr>
          <w:p w14:paraId="7C11B01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A7AA6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14:paraId="4D9E48F6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C61EC18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4627706B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395113AF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766CE282" w14:textId="77777777"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integracji z urządzeniem do oddymiania pola operacyjnego, pracującym w trybie automatyczny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m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w procedurach otwa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rt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ych i laparoskopowych</w:t>
            </w:r>
          </w:p>
        </w:tc>
        <w:tc>
          <w:tcPr>
            <w:tcW w:w="1522" w:type="dxa"/>
            <w:vAlign w:val="center"/>
          </w:tcPr>
          <w:p w14:paraId="4A3A8F6F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4449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439D790E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B39DEDD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1A5F278B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7210922F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00C502B3" w14:textId="77777777" w:rsidR="00CE7EB2" w:rsidRPr="00FB30BA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FB30BA">
              <w:rPr>
                <w:rFonts w:ascii="Tahoma" w:hAnsi="Tahoma" w:cs="Tahoma"/>
                <w:sz w:val="18"/>
                <w:szCs w:val="18"/>
                <w:lang w:eastAsia="zh-CN"/>
              </w:rPr>
              <w:t>Podwójny włącznik nożny z przyciskiem zmiany ustawień – 1 szt.</w:t>
            </w:r>
          </w:p>
        </w:tc>
        <w:tc>
          <w:tcPr>
            <w:tcW w:w="1522" w:type="dxa"/>
            <w:vAlign w:val="center"/>
          </w:tcPr>
          <w:p w14:paraId="2105369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4449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600CF79B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C83E117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3BA7F693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4F7CC075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7FF034D9" w14:textId="77777777" w:rsidR="00CE7EB2" w:rsidRPr="00FB30BA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FB30BA">
              <w:rPr>
                <w:rFonts w:ascii="Tahoma" w:eastAsia="Calibri" w:hAnsi="Tahoma" w:cs="Tahoma"/>
                <w:sz w:val="18"/>
                <w:szCs w:val="18"/>
              </w:rPr>
              <w:t>Wielorazowy przewód do elektrod neutralnych dł. 4m – 1 szt.</w:t>
            </w:r>
          </w:p>
        </w:tc>
        <w:tc>
          <w:tcPr>
            <w:tcW w:w="1522" w:type="dxa"/>
            <w:vAlign w:val="center"/>
          </w:tcPr>
          <w:p w14:paraId="3D285BB3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4449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5052A709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DDEE947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DE58F1D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35AB3E91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058C205D" w14:textId="77777777" w:rsidR="00CE7EB2" w:rsidRPr="00FB30BA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FB30BA">
              <w:rPr>
                <w:rFonts w:ascii="Tahoma" w:eastAsia="Calibri" w:hAnsi="Tahoma" w:cs="Tahoma"/>
                <w:sz w:val="18"/>
                <w:szCs w:val="18"/>
              </w:rPr>
              <w:t xml:space="preserve">Kabel do połączenia z resektoskopami bipolarnymi – </w:t>
            </w:r>
            <w:r>
              <w:rPr>
                <w:rFonts w:ascii="Tahoma" w:eastAsia="Calibri" w:hAnsi="Tahoma" w:cs="Tahoma"/>
                <w:sz w:val="18"/>
                <w:szCs w:val="18"/>
              </w:rPr>
              <w:t>5</w:t>
            </w:r>
            <w:r w:rsidRPr="00FB30BA">
              <w:rPr>
                <w:rFonts w:ascii="Tahoma" w:eastAsia="Calibri" w:hAnsi="Tahoma" w:cs="Tahoma"/>
                <w:sz w:val="18"/>
                <w:szCs w:val="18"/>
              </w:rPr>
              <w:t xml:space="preserve"> szt.</w:t>
            </w:r>
          </w:p>
        </w:tc>
        <w:tc>
          <w:tcPr>
            <w:tcW w:w="1522" w:type="dxa"/>
            <w:vAlign w:val="center"/>
          </w:tcPr>
          <w:p w14:paraId="6BC24189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4449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165915F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2AD5011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0EC79F91" w14:textId="77777777" w:rsidTr="00E67860">
        <w:trPr>
          <w:trHeight w:val="284"/>
        </w:trPr>
        <w:tc>
          <w:tcPr>
            <w:tcW w:w="426" w:type="dxa"/>
            <w:shd w:val="clear" w:color="auto" w:fill="7CEB99"/>
            <w:vAlign w:val="center"/>
          </w:tcPr>
          <w:p w14:paraId="6AB03DF3" w14:textId="77777777" w:rsidR="00CE7EB2" w:rsidRPr="00AC54C3" w:rsidRDefault="00CE7EB2" w:rsidP="00E67860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shd w:val="clear" w:color="auto" w:fill="7CEB99"/>
            <w:vAlign w:val="center"/>
          </w:tcPr>
          <w:p w14:paraId="06457B35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6D1D34">
              <w:rPr>
                <w:rFonts w:ascii="Tahoma" w:hAnsi="Tahoma" w:cs="Tahoma"/>
                <w:b/>
                <w:bCs/>
                <w:sz w:val="18"/>
                <w:szCs w:val="18"/>
              </w:rPr>
              <w:t>POZOSTAŁE WYMAGANIA</w:t>
            </w:r>
          </w:p>
        </w:tc>
        <w:tc>
          <w:tcPr>
            <w:tcW w:w="1522" w:type="dxa"/>
            <w:shd w:val="clear" w:color="auto" w:fill="7CEB99"/>
            <w:vAlign w:val="center"/>
          </w:tcPr>
          <w:p w14:paraId="3294514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2" w:type="dxa"/>
            <w:shd w:val="clear" w:color="auto" w:fill="7CEB99"/>
            <w:vAlign w:val="center"/>
          </w:tcPr>
          <w:p w14:paraId="7EFE22DF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7CEB99"/>
            <w:vAlign w:val="center"/>
          </w:tcPr>
          <w:p w14:paraId="768CB34E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239C2647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1B412444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2D190D16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 xml:space="preserve">Rok produkcji </w:t>
            </w:r>
            <w:r>
              <w:rPr>
                <w:rFonts w:ascii="Tahoma" w:hAnsi="Tahoma" w:cs="Tahoma"/>
                <w:sz w:val="18"/>
                <w:szCs w:val="18"/>
              </w:rPr>
              <w:t>min. 2025</w:t>
            </w:r>
          </w:p>
        </w:tc>
        <w:tc>
          <w:tcPr>
            <w:tcW w:w="1522" w:type="dxa"/>
            <w:vAlign w:val="center"/>
          </w:tcPr>
          <w:p w14:paraId="3517CA4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6CB8C67C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7A36D13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4DEC3DF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38754A5C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06B279BA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Pełna gwarancja na oferowan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urządzenie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min. </w:t>
            </w:r>
            <w:r>
              <w:rPr>
                <w:rFonts w:ascii="Tahoma" w:hAnsi="Tahoma" w:cs="Tahoma"/>
                <w:sz w:val="18"/>
                <w:szCs w:val="18"/>
              </w:rPr>
              <w:t>36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miesięc</w:t>
            </w:r>
            <w:r>
              <w:rPr>
                <w:rFonts w:ascii="Tahoma" w:hAnsi="Tahoma" w:cs="Tahoma"/>
                <w:sz w:val="18"/>
                <w:szCs w:val="18"/>
              </w:rPr>
              <w:t>y</w:t>
            </w:r>
          </w:p>
        </w:tc>
        <w:tc>
          <w:tcPr>
            <w:tcW w:w="1522" w:type="dxa"/>
            <w:vAlign w:val="center"/>
          </w:tcPr>
          <w:p w14:paraId="07F480EE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 / Podać w pełnych miesiącach</w:t>
            </w:r>
          </w:p>
        </w:tc>
        <w:tc>
          <w:tcPr>
            <w:tcW w:w="1172" w:type="dxa"/>
            <w:vAlign w:val="center"/>
          </w:tcPr>
          <w:p w14:paraId="4A02F251" w14:textId="77777777" w:rsidR="00CE7EB2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36 miesięcy – 0 pkt.</w:t>
            </w:r>
          </w:p>
          <w:p w14:paraId="6E16EEAE" w14:textId="77777777" w:rsidR="00CE7EB2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60 miesięcy – 24 pkt.</w:t>
            </w:r>
          </w:p>
          <w:p w14:paraId="00CF8093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Pozostałe proporcjonalnie</w:t>
            </w:r>
          </w:p>
        </w:tc>
        <w:tc>
          <w:tcPr>
            <w:tcW w:w="2693" w:type="dxa"/>
            <w:vAlign w:val="center"/>
          </w:tcPr>
          <w:p w14:paraId="33844884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2BDBC210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210D3823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132F6B29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F2609">
              <w:rPr>
                <w:rFonts w:ascii="Tahoma" w:hAnsi="Tahoma" w:cs="Tahoma"/>
                <w:sz w:val="18"/>
                <w:szCs w:val="18"/>
              </w:rPr>
              <w:t xml:space="preserve">Pełna gwarancja na oferowane </w:t>
            </w:r>
            <w:r w:rsidRPr="00CB37A6">
              <w:rPr>
                <w:rFonts w:ascii="Tahoma" w:hAnsi="Tahoma" w:cs="Tahoma"/>
                <w:sz w:val="18"/>
                <w:szCs w:val="18"/>
              </w:rPr>
              <w:t>instrumentarium wielorazowego użytku</w:t>
            </w:r>
            <w:r>
              <w:rPr>
                <w:rFonts w:ascii="Tahoma" w:hAnsi="Tahoma" w:cs="Tahoma"/>
                <w:sz w:val="18"/>
                <w:szCs w:val="18"/>
              </w:rPr>
              <w:t xml:space="preserve">  (wyposażenie diatermii) min. 12 miesięcy</w:t>
            </w:r>
          </w:p>
        </w:tc>
        <w:tc>
          <w:tcPr>
            <w:tcW w:w="1522" w:type="dxa"/>
          </w:tcPr>
          <w:p w14:paraId="1D2ED29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C392E">
              <w:rPr>
                <w:rFonts w:ascii="Tahoma" w:hAnsi="Tahoma" w:cs="Tahoma"/>
                <w:sz w:val="18"/>
                <w:szCs w:val="18"/>
              </w:rPr>
              <w:t xml:space="preserve">Tak / Podać w pełnych </w:t>
            </w:r>
            <w:r w:rsidRPr="00EC392E">
              <w:rPr>
                <w:rFonts w:ascii="Tahoma" w:hAnsi="Tahoma" w:cs="Tahoma"/>
                <w:sz w:val="18"/>
                <w:szCs w:val="18"/>
              </w:rPr>
              <w:lastRenderedPageBreak/>
              <w:t>miesiącach</w:t>
            </w:r>
          </w:p>
        </w:tc>
        <w:tc>
          <w:tcPr>
            <w:tcW w:w="1172" w:type="dxa"/>
            <w:vAlign w:val="center"/>
          </w:tcPr>
          <w:p w14:paraId="2850FA3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59CCFC6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12D11696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28B09F34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1AD85AFF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Urządzeni</w:t>
            </w:r>
            <w:r>
              <w:rPr>
                <w:rFonts w:ascii="Tahoma" w:hAnsi="Tahoma" w:cs="Tahoma"/>
                <w:sz w:val="18"/>
                <w:szCs w:val="18"/>
              </w:rPr>
              <w:t>a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fabrycznie nowe, nieużywane, </w:t>
            </w:r>
            <w:proofErr w:type="spellStart"/>
            <w:r w:rsidRPr="007E335B">
              <w:rPr>
                <w:rFonts w:ascii="Tahoma" w:hAnsi="Tahoma" w:cs="Tahoma"/>
                <w:sz w:val="18"/>
                <w:szCs w:val="18"/>
              </w:rPr>
              <w:t>nierekondycjonowane</w:t>
            </w:r>
            <w:proofErr w:type="spellEnd"/>
            <w:r w:rsidRPr="007E335B">
              <w:rPr>
                <w:rFonts w:ascii="Tahoma" w:hAnsi="Tahoma" w:cs="Tahoma"/>
                <w:sz w:val="18"/>
                <w:szCs w:val="18"/>
              </w:rPr>
              <w:t>, bez wad prawnych i fizycznych.</w:t>
            </w:r>
          </w:p>
        </w:tc>
        <w:tc>
          <w:tcPr>
            <w:tcW w:w="1522" w:type="dxa"/>
            <w:vAlign w:val="center"/>
          </w:tcPr>
          <w:p w14:paraId="79279896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7F15BC48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FE517DB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1E9A08A5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7A5C2CDD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3D321937" w14:textId="77777777" w:rsidR="00CE7EB2" w:rsidRPr="007E335B" w:rsidRDefault="00CE7EB2" w:rsidP="00E6786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Urządzeni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pozbawione haseł, kodów, blokad serwisowych, utrudniających dostęp do wykonania czynności serwisowych (w tym przeglądów technicznych i napraw) przez właściciela lub niezależny serwis po upływie gwarancji </w:t>
            </w:r>
          </w:p>
          <w:p w14:paraId="45FE216E" w14:textId="77777777" w:rsidR="00CE7EB2" w:rsidRPr="007E335B" w:rsidRDefault="00CE7EB2" w:rsidP="00E6786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Lub</w:t>
            </w:r>
          </w:p>
          <w:p w14:paraId="4155599E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522" w:type="dxa"/>
            <w:vAlign w:val="center"/>
          </w:tcPr>
          <w:p w14:paraId="025BE861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1AEE8CE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C9F840F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6415EAE5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164A6993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3FC0F8C1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Obsługa w języku polskim.</w:t>
            </w:r>
          </w:p>
        </w:tc>
        <w:tc>
          <w:tcPr>
            <w:tcW w:w="1522" w:type="dxa"/>
            <w:vAlign w:val="center"/>
          </w:tcPr>
          <w:p w14:paraId="6913E179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3ABDC53C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D446651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270E910B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37E1393F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565DE87F" w14:textId="77777777" w:rsidR="00CE7EB2" w:rsidRPr="00E7037F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7037F">
              <w:rPr>
                <w:rFonts w:ascii="Tahoma" w:hAnsi="Tahoma" w:cs="Tahoma"/>
                <w:sz w:val="18"/>
                <w:szCs w:val="18"/>
              </w:rPr>
              <w:t xml:space="preserve">Aktualna Deklaracja Zgodności UE oraz – jeśli wymagany – ważny </w:t>
            </w:r>
          </w:p>
          <w:p w14:paraId="6BAD3C55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E7037F">
              <w:rPr>
                <w:rFonts w:ascii="Tahoma" w:hAnsi="Tahoma" w:cs="Tahoma"/>
                <w:sz w:val="18"/>
                <w:szCs w:val="18"/>
              </w:rPr>
              <w:t xml:space="preserve">certyfikat jednostki notyfikowanej potwierdzające zgodność wyrobu z Rozporządzeniem Parlamentu Europejskiego I Rady (UE) 2017/745 z dnia 5 kwietnia 2017 r. w sprawie wyrobów medycznych </w:t>
            </w:r>
            <w:r>
              <w:rPr>
                <w:rFonts w:ascii="Tahoma" w:hAnsi="Tahoma" w:cs="Tahoma"/>
                <w:sz w:val="18"/>
                <w:szCs w:val="18"/>
              </w:rPr>
              <w:t>–</w:t>
            </w:r>
            <w:r w:rsidRPr="00E7037F">
              <w:rPr>
                <w:rFonts w:ascii="Tahoma" w:hAnsi="Tahoma" w:cs="Tahoma"/>
                <w:sz w:val="18"/>
                <w:szCs w:val="18"/>
              </w:rPr>
              <w:t xml:space="preserve"> Załączyć</w:t>
            </w:r>
            <w:r>
              <w:rPr>
                <w:rFonts w:ascii="Tahoma" w:hAnsi="Tahoma" w:cs="Tahoma"/>
                <w:sz w:val="18"/>
                <w:szCs w:val="18"/>
              </w:rPr>
              <w:t xml:space="preserve"> przy dostawie</w:t>
            </w:r>
          </w:p>
        </w:tc>
        <w:tc>
          <w:tcPr>
            <w:tcW w:w="1522" w:type="dxa"/>
            <w:vAlign w:val="center"/>
          </w:tcPr>
          <w:p w14:paraId="6FF06DCE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75B16B73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273FF1C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6DE3A1F5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74DF0B7D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2BC8B8F7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Wpis do rejestru wyrobów medycznych lub powiadomienie/zgłoszenie produktu do Prezesa Urzędu Rejestracji Produktów Leczniczych, Wyrobów Medycznych i Produktów Biobójczych</w:t>
            </w:r>
            <w:r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Pr="00E7037F">
              <w:rPr>
                <w:rFonts w:ascii="Tahoma" w:hAnsi="Tahoma" w:cs="Tahoma"/>
                <w:sz w:val="18"/>
                <w:szCs w:val="18"/>
              </w:rPr>
              <w:t>Załączyć</w:t>
            </w:r>
            <w:r>
              <w:rPr>
                <w:rFonts w:ascii="Tahoma" w:hAnsi="Tahoma" w:cs="Tahoma"/>
                <w:sz w:val="18"/>
                <w:szCs w:val="18"/>
              </w:rPr>
              <w:t xml:space="preserve"> przy dostawie</w:t>
            </w:r>
          </w:p>
        </w:tc>
        <w:tc>
          <w:tcPr>
            <w:tcW w:w="1522" w:type="dxa"/>
            <w:vAlign w:val="center"/>
          </w:tcPr>
          <w:p w14:paraId="4E6CADA0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3A4DC16C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4020E18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2F65D9F1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50C91BC7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4E3B9129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 xml:space="preserve">Zainstalowanie i uruchomienie </w:t>
            </w:r>
            <w:r>
              <w:rPr>
                <w:rFonts w:ascii="Tahoma" w:hAnsi="Tahoma" w:cs="Tahoma"/>
                <w:sz w:val="18"/>
                <w:szCs w:val="18"/>
              </w:rPr>
              <w:t>kompletnego zestawu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w miejscu wskazanym przez Zamawiającego.</w:t>
            </w:r>
          </w:p>
        </w:tc>
        <w:tc>
          <w:tcPr>
            <w:tcW w:w="1522" w:type="dxa"/>
            <w:vAlign w:val="center"/>
          </w:tcPr>
          <w:p w14:paraId="5E3CB300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59ABF06C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4334EE1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5B5E99CA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7166C1F9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0E2C5BFB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 xml:space="preserve">Przeszkolenie personelu w zakresie obsługi i prawidłowej eksploatacji (w tym mycia / dezynfekcji / sterylizacji) </w:t>
            </w:r>
            <w:r>
              <w:rPr>
                <w:rFonts w:ascii="Tahoma" w:hAnsi="Tahoma" w:cs="Tahoma"/>
                <w:sz w:val="18"/>
                <w:szCs w:val="18"/>
              </w:rPr>
              <w:t>przedmiotu zamówienia</w:t>
            </w:r>
          </w:p>
        </w:tc>
        <w:tc>
          <w:tcPr>
            <w:tcW w:w="1522" w:type="dxa"/>
            <w:vAlign w:val="center"/>
          </w:tcPr>
          <w:p w14:paraId="56D15CA9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38DCAD3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4EEE1F1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44D16F2E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573EBFE9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1D552C35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Instrukcja obsługi w j. polskim (z dostawą) w wersji papierowej i elektronicznej.</w:t>
            </w:r>
          </w:p>
        </w:tc>
        <w:tc>
          <w:tcPr>
            <w:tcW w:w="1522" w:type="dxa"/>
            <w:vAlign w:val="center"/>
          </w:tcPr>
          <w:p w14:paraId="678DA992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40AF2858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AAB9DCD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44E1828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31A309E9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56BFED16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Dostawa paszportu technicznego wraz z dostawą urządzenia.</w:t>
            </w:r>
          </w:p>
        </w:tc>
        <w:tc>
          <w:tcPr>
            <w:tcW w:w="1522" w:type="dxa"/>
            <w:vAlign w:val="center"/>
          </w:tcPr>
          <w:p w14:paraId="1BF73CBC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76E1C6AB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E8F8E2C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75642DB9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73019F21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2042A4B5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8A5849">
              <w:rPr>
                <w:rFonts w:ascii="Tahoma" w:hAnsi="Tahoma" w:cs="Tahoma"/>
                <w:sz w:val="18"/>
                <w:szCs w:val="18"/>
              </w:rPr>
              <w:t>Autoryzowany serwis gwarancyjny i pogwarancyjny (przez min. 10 lat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1522" w:type="dxa"/>
            <w:vAlign w:val="center"/>
          </w:tcPr>
          <w:p w14:paraId="37B58700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4A08DD45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11D8AD7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007150E5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1F3B0753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3694AB08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8A5849">
              <w:rPr>
                <w:rFonts w:ascii="Tahoma" w:hAnsi="Tahoma" w:cs="Tahoma"/>
                <w:sz w:val="18"/>
                <w:szCs w:val="18"/>
              </w:rPr>
              <w:t>Okres zagwarantowania dostępności części zamiennych min. 10 lat od daty instalacji / uruchomienia.</w:t>
            </w:r>
          </w:p>
        </w:tc>
        <w:tc>
          <w:tcPr>
            <w:tcW w:w="1522" w:type="dxa"/>
            <w:vAlign w:val="center"/>
          </w:tcPr>
          <w:p w14:paraId="00722E5F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3769AB88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BE66303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14:paraId="1801FC60" w14:textId="77777777" w:rsidTr="00E67860">
        <w:trPr>
          <w:trHeight w:val="284"/>
        </w:trPr>
        <w:tc>
          <w:tcPr>
            <w:tcW w:w="426" w:type="dxa"/>
            <w:vAlign w:val="center"/>
          </w:tcPr>
          <w:p w14:paraId="16391CC3" w14:textId="77777777"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14:paraId="281127D4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F2609">
              <w:rPr>
                <w:rFonts w:ascii="Tahoma" w:hAnsi="Tahoma" w:cs="Tahoma"/>
                <w:sz w:val="18"/>
                <w:szCs w:val="18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522" w:type="dxa"/>
            <w:vAlign w:val="center"/>
          </w:tcPr>
          <w:p w14:paraId="3531BDD4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14:paraId="504C4CFD" w14:textId="77777777"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A325560" w14:textId="77777777"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F3BA0B4" w14:textId="77777777" w:rsidR="00CE7EB2" w:rsidRDefault="00CE7EB2" w:rsidP="00CE7EB2"/>
    <w:p w14:paraId="4D90EB36" w14:textId="77777777" w:rsidR="00CE7EB2" w:rsidRPr="00684437" w:rsidRDefault="00CE7EB2" w:rsidP="00CE7EB2">
      <w:pPr>
        <w:pStyle w:val="Akapitzlist"/>
      </w:pPr>
    </w:p>
    <w:p w14:paraId="4B9C5DF1" w14:textId="77777777" w:rsidR="00A4532D" w:rsidRPr="00CE7EB2" w:rsidRDefault="00A4532D" w:rsidP="00CE7EB2">
      <w:pPr>
        <w:rPr>
          <w:szCs w:val="24"/>
        </w:rPr>
      </w:pPr>
    </w:p>
    <w:sectPr w:rsidR="00A4532D" w:rsidRPr="00CE7EB2" w:rsidSect="003A7C6B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49525" w14:textId="77777777" w:rsidR="00255101" w:rsidRDefault="00255101" w:rsidP="00496154">
      <w:r>
        <w:separator/>
      </w:r>
    </w:p>
  </w:endnote>
  <w:endnote w:type="continuationSeparator" w:id="0">
    <w:p w14:paraId="1D2C161A" w14:textId="77777777" w:rsidR="00255101" w:rsidRDefault="00255101" w:rsidP="00496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ongti SC"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3917996"/>
      <w:docPartObj>
        <w:docPartGallery w:val="Page Numbers (Bottom of Page)"/>
        <w:docPartUnique/>
      </w:docPartObj>
    </w:sdtPr>
    <w:sdtContent>
      <w:p w14:paraId="632D5486" w14:textId="77777777" w:rsidR="000B0DBE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F5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D108D1E" w14:textId="77777777" w:rsidR="000B0DBE" w:rsidRDefault="000B0D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5D816" w14:textId="77777777" w:rsidR="00255101" w:rsidRDefault="00255101" w:rsidP="00496154">
      <w:r>
        <w:separator/>
      </w:r>
    </w:p>
  </w:footnote>
  <w:footnote w:type="continuationSeparator" w:id="0">
    <w:p w14:paraId="0D7933F3" w14:textId="77777777" w:rsidR="00255101" w:rsidRDefault="00255101" w:rsidP="00496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E3F22" w14:textId="77777777" w:rsidR="00E61704" w:rsidRPr="003B75B4" w:rsidRDefault="00E61704" w:rsidP="00E61704">
    <w:pPr>
      <w:keepNext/>
      <w:suppressAutoHyphens/>
      <w:spacing w:before="240" w:after="240"/>
      <w:jc w:val="center"/>
      <w:outlineLvl w:val="0"/>
      <w:rPr>
        <w:rFonts w:ascii="Arial" w:eastAsia="Times New Roman" w:hAnsi="Arial" w:cs="Arial"/>
        <w:sz w:val="24"/>
        <w:szCs w:val="24"/>
      </w:rPr>
    </w:pPr>
    <w:bookmarkStart w:id="0" w:name="_Toc220940960"/>
    <w:bookmarkStart w:id="1" w:name="_Toc221518781"/>
    <w:r w:rsidRPr="00E61704">
      <w:rPr>
        <w:rFonts w:ascii="Arial" w:eastAsia="Times New Roman" w:hAnsi="Arial" w:cs="Arial"/>
        <w:noProof/>
        <w:sz w:val="24"/>
        <w:szCs w:val="24"/>
        <w:lang w:eastAsia="pl-PL"/>
      </w:rPr>
      <w:drawing>
        <wp:inline distT="0" distB="0" distL="0" distR="0" wp14:anchorId="3369982E" wp14:editId="74FFF846">
          <wp:extent cx="2695575" cy="997585"/>
          <wp:effectExtent l="19050" t="0" r="9525" b="0"/>
          <wp:docPr id="7" name="Obraz 7" descr="logotyp Wojewodztwa Wielkopolskiego i herb Marszałka Województwa Wielkopolskiego Marka Woźnia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typ Wojewodztwa Wielkopolskiego i herb Marszałka Województwa Wielkopolskiego Marka Woźnia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997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eastAsia="Times New Roman" w:hAnsi="Arial" w:cs="Arial"/>
        <w:sz w:val="24"/>
        <w:szCs w:val="24"/>
      </w:rPr>
      <w:br/>
    </w:r>
    <w:r>
      <w:rPr>
        <w:rFonts w:ascii="Arial" w:eastAsia="Times New Roman" w:hAnsi="Arial" w:cs="Arial"/>
        <w:sz w:val="24"/>
        <w:szCs w:val="24"/>
      </w:rPr>
      <w:br/>
    </w:r>
    <w:r w:rsidRPr="003B75B4">
      <w:rPr>
        <w:rFonts w:ascii="Arial" w:eastAsia="Times New Roman" w:hAnsi="Arial" w:cs="Arial"/>
        <w:sz w:val="24"/>
        <w:szCs w:val="24"/>
      </w:rPr>
      <w:t xml:space="preserve">Załącznik numer 2b do Specyfikacji Warunków Zamówienia </w:t>
    </w:r>
    <w:bookmarkEnd w:id="0"/>
    <w:bookmarkEnd w:id="1"/>
  </w:p>
  <w:p w14:paraId="23C8D7BD" w14:textId="77777777" w:rsidR="00E61704" w:rsidRPr="003B75B4" w:rsidRDefault="00E61704" w:rsidP="00E61704">
    <w:pPr>
      <w:jc w:val="center"/>
      <w:rPr>
        <w:rFonts w:ascii="Arial" w:hAnsi="Arial" w:cs="Arial"/>
        <w:b/>
        <w:sz w:val="24"/>
        <w:szCs w:val="24"/>
      </w:rPr>
    </w:pPr>
    <w:r w:rsidRPr="003B75B4">
      <w:rPr>
        <w:rFonts w:ascii="Arial" w:hAnsi="Arial" w:cs="Arial"/>
        <w:b/>
        <w:sz w:val="24"/>
        <w:szCs w:val="24"/>
      </w:rPr>
      <w:t xml:space="preserve">FORMULARZ OFERTOWY </w:t>
    </w:r>
  </w:p>
  <w:p w14:paraId="6B094613" w14:textId="5A6D7A33" w:rsidR="00E61704" w:rsidRPr="003B75B4" w:rsidRDefault="00E61704" w:rsidP="00E61704">
    <w:pPr>
      <w:jc w:val="center"/>
      <w:rPr>
        <w:rFonts w:ascii="Arial" w:hAnsi="Arial" w:cs="Arial"/>
        <w:b/>
        <w:sz w:val="24"/>
        <w:szCs w:val="24"/>
      </w:rPr>
    </w:pPr>
    <w:r w:rsidRPr="003B75B4">
      <w:rPr>
        <w:rFonts w:ascii="Arial" w:hAnsi="Arial" w:cs="Arial"/>
        <w:b/>
        <w:sz w:val="24"/>
        <w:szCs w:val="24"/>
      </w:rPr>
      <w:t>„Zestawienie wymaganych parametrów techniczno-użytkowych’’</w:t>
    </w:r>
    <w:r w:rsidR="00DF3DF0">
      <w:rPr>
        <w:rFonts w:ascii="Arial" w:hAnsi="Arial" w:cs="Arial"/>
        <w:b/>
        <w:sz w:val="24"/>
        <w:szCs w:val="24"/>
      </w:rPr>
      <w:t xml:space="preserve"> (sprawa nr.</w:t>
    </w:r>
    <w:r w:rsidR="006E2E8C">
      <w:rPr>
        <w:rFonts w:ascii="Arial" w:hAnsi="Arial" w:cs="Arial"/>
        <w:b/>
        <w:sz w:val="24"/>
        <w:szCs w:val="24"/>
      </w:rPr>
      <w:t xml:space="preserve"> 42</w:t>
    </w:r>
    <w:r w:rsidR="00DF3DF0">
      <w:rPr>
        <w:rFonts w:ascii="Arial" w:hAnsi="Arial" w:cs="Arial"/>
        <w:b/>
        <w:sz w:val="24"/>
        <w:szCs w:val="24"/>
      </w:rPr>
      <w:t>/26)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05CA"/>
    <w:multiLevelType w:val="multilevel"/>
    <w:tmpl w:val="AE021E5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5292B28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281F40"/>
    <w:multiLevelType w:val="hybridMultilevel"/>
    <w:tmpl w:val="0B16B606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728CF"/>
    <w:multiLevelType w:val="hybridMultilevel"/>
    <w:tmpl w:val="6DB8CBE6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E767A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B2CDD"/>
    <w:multiLevelType w:val="hybridMultilevel"/>
    <w:tmpl w:val="97787ED4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744CA30">
      <w:numFmt w:val="bullet"/>
      <w:lvlText w:val=""/>
      <w:lvlJc w:val="left"/>
      <w:pPr>
        <w:ind w:left="1440" w:hanging="360"/>
      </w:pPr>
      <w:rPr>
        <w:rFonts w:ascii="Symbol" w:eastAsiaTheme="minorEastAsia" w:hAnsi="Symbol" w:cs="Tahom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E5438"/>
    <w:multiLevelType w:val="hybridMultilevel"/>
    <w:tmpl w:val="81FE85EA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8150A"/>
    <w:multiLevelType w:val="hybridMultilevel"/>
    <w:tmpl w:val="C6F2E536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25636"/>
    <w:multiLevelType w:val="hybridMultilevel"/>
    <w:tmpl w:val="4D66B5FC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C1E7E"/>
    <w:multiLevelType w:val="hybridMultilevel"/>
    <w:tmpl w:val="D87477EE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01504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48247A"/>
    <w:multiLevelType w:val="hybridMultilevel"/>
    <w:tmpl w:val="4830D6C4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71407"/>
    <w:multiLevelType w:val="hybridMultilevel"/>
    <w:tmpl w:val="28AA7710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37DEB"/>
    <w:multiLevelType w:val="hybridMultilevel"/>
    <w:tmpl w:val="0C5A4922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40EA0"/>
    <w:multiLevelType w:val="hybridMultilevel"/>
    <w:tmpl w:val="683C666A"/>
    <w:lvl w:ilvl="0" w:tplc="1462527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92469D"/>
    <w:multiLevelType w:val="hybridMultilevel"/>
    <w:tmpl w:val="620CFFF2"/>
    <w:lvl w:ilvl="0" w:tplc="1462527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E373E06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BA6777"/>
    <w:multiLevelType w:val="hybridMultilevel"/>
    <w:tmpl w:val="1B0AA980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D965D7"/>
    <w:multiLevelType w:val="hybridMultilevel"/>
    <w:tmpl w:val="7E6A506C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AB6280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707C6A"/>
    <w:multiLevelType w:val="hybridMultilevel"/>
    <w:tmpl w:val="A5509780"/>
    <w:lvl w:ilvl="0" w:tplc="14625270">
      <w:start w:val="1"/>
      <w:numFmt w:val="bullet"/>
      <w:lvlText w:val="-"/>
      <w:lvlJc w:val="left"/>
      <w:pPr>
        <w:ind w:left="64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 w15:restartNumberingAfterBreak="0">
    <w:nsid w:val="6BFB4A18"/>
    <w:multiLevelType w:val="hybridMultilevel"/>
    <w:tmpl w:val="6FAC7F42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1124A"/>
    <w:multiLevelType w:val="hybridMultilevel"/>
    <w:tmpl w:val="85AEDDC6"/>
    <w:lvl w:ilvl="0" w:tplc="8390B9C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AD23A3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AC332F"/>
    <w:multiLevelType w:val="hybridMultilevel"/>
    <w:tmpl w:val="956007EC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3C6A3A"/>
    <w:multiLevelType w:val="hybridMultilevel"/>
    <w:tmpl w:val="E0DE5BC4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B20B8"/>
    <w:multiLevelType w:val="hybridMultilevel"/>
    <w:tmpl w:val="D70EDE10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210D7"/>
    <w:multiLevelType w:val="hybridMultilevel"/>
    <w:tmpl w:val="86169FE0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4625270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537730">
    <w:abstractNumId w:val="22"/>
  </w:num>
  <w:num w:numId="2" w16cid:durableId="339702902">
    <w:abstractNumId w:val="2"/>
  </w:num>
  <w:num w:numId="3" w16cid:durableId="601769412">
    <w:abstractNumId w:val="5"/>
  </w:num>
  <w:num w:numId="4" w16cid:durableId="680474761">
    <w:abstractNumId w:val="10"/>
  </w:num>
  <w:num w:numId="5" w16cid:durableId="1800220865">
    <w:abstractNumId w:val="1"/>
  </w:num>
  <w:num w:numId="6" w16cid:durableId="646207949">
    <w:abstractNumId w:val="19"/>
  </w:num>
  <w:num w:numId="7" w16cid:durableId="1923369241">
    <w:abstractNumId w:val="4"/>
  </w:num>
  <w:num w:numId="8" w16cid:durableId="1154762178">
    <w:abstractNumId w:val="16"/>
  </w:num>
  <w:num w:numId="9" w16cid:durableId="58019052">
    <w:abstractNumId w:val="23"/>
  </w:num>
  <w:num w:numId="10" w16cid:durableId="99880231">
    <w:abstractNumId w:val="0"/>
  </w:num>
  <w:num w:numId="11" w16cid:durableId="887036579">
    <w:abstractNumId w:val="15"/>
  </w:num>
  <w:num w:numId="12" w16cid:durableId="1054620655">
    <w:abstractNumId w:val="11"/>
  </w:num>
  <w:num w:numId="13" w16cid:durableId="65153070">
    <w:abstractNumId w:val="20"/>
  </w:num>
  <w:num w:numId="14" w16cid:durableId="22445105">
    <w:abstractNumId w:val="21"/>
  </w:num>
  <w:num w:numId="15" w16cid:durableId="1103263570">
    <w:abstractNumId w:val="7"/>
  </w:num>
  <w:num w:numId="16" w16cid:durableId="2005084023">
    <w:abstractNumId w:val="14"/>
  </w:num>
  <w:num w:numId="17" w16cid:durableId="991442983">
    <w:abstractNumId w:val="8"/>
  </w:num>
  <w:num w:numId="18" w16cid:durableId="1867794018">
    <w:abstractNumId w:val="18"/>
  </w:num>
  <w:num w:numId="19" w16cid:durableId="2024015995">
    <w:abstractNumId w:val="6"/>
  </w:num>
  <w:num w:numId="20" w16cid:durableId="839540748">
    <w:abstractNumId w:val="24"/>
  </w:num>
  <w:num w:numId="21" w16cid:durableId="49773164">
    <w:abstractNumId w:val="9"/>
  </w:num>
  <w:num w:numId="22" w16cid:durableId="173226451">
    <w:abstractNumId w:val="13"/>
  </w:num>
  <w:num w:numId="23" w16cid:durableId="1669793398">
    <w:abstractNumId w:val="27"/>
  </w:num>
  <w:num w:numId="24" w16cid:durableId="1654917475">
    <w:abstractNumId w:val="26"/>
  </w:num>
  <w:num w:numId="25" w16cid:durableId="461772741">
    <w:abstractNumId w:val="25"/>
  </w:num>
  <w:num w:numId="26" w16cid:durableId="305474295">
    <w:abstractNumId w:val="12"/>
  </w:num>
  <w:num w:numId="27" w16cid:durableId="1182625513">
    <w:abstractNumId w:val="3"/>
  </w:num>
  <w:num w:numId="28" w16cid:durableId="653949079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2CEA"/>
    <w:rsid w:val="000137D7"/>
    <w:rsid w:val="00017802"/>
    <w:rsid w:val="000318B6"/>
    <w:rsid w:val="00034446"/>
    <w:rsid w:val="00040F99"/>
    <w:rsid w:val="00042B55"/>
    <w:rsid w:val="0006182B"/>
    <w:rsid w:val="000753FC"/>
    <w:rsid w:val="0008097E"/>
    <w:rsid w:val="00086F19"/>
    <w:rsid w:val="000925EC"/>
    <w:rsid w:val="00092FFC"/>
    <w:rsid w:val="000A3E0C"/>
    <w:rsid w:val="000B0DBE"/>
    <w:rsid w:val="000B4560"/>
    <w:rsid w:val="000B4EA5"/>
    <w:rsid w:val="000D193F"/>
    <w:rsid w:val="000D2AFB"/>
    <w:rsid w:val="000E50CC"/>
    <w:rsid w:val="000E7BDB"/>
    <w:rsid w:val="0010080F"/>
    <w:rsid w:val="001010E8"/>
    <w:rsid w:val="001167FC"/>
    <w:rsid w:val="00125F5E"/>
    <w:rsid w:val="00133879"/>
    <w:rsid w:val="00134403"/>
    <w:rsid w:val="001356FE"/>
    <w:rsid w:val="0014111D"/>
    <w:rsid w:val="00141FCD"/>
    <w:rsid w:val="00152C0E"/>
    <w:rsid w:val="00155BAF"/>
    <w:rsid w:val="001728EF"/>
    <w:rsid w:val="0017686A"/>
    <w:rsid w:val="00193527"/>
    <w:rsid w:val="00193D93"/>
    <w:rsid w:val="001A28CD"/>
    <w:rsid w:val="001C402C"/>
    <w:rsid w:val="001F689A"/>
    <w:rsid w:val="001F7A20"/>
    <w:rsid w:val="002132E5"/>
    <w:rsid w:val="00232C3C"/>
    <w:rsid w:val="002355E3"/>
    <w:rsid w:val="00237BFF"/>
    <w:rsid w:val="00245CD9"/>
    <w:rsid w:val="0025501C"/>
    <w:rsid w:val="00255101"/>
    <w:rsid w:val="00262940"/>
    <w:rsid w:val="00263495"/>
    <w:rsid w:val="00267F2F"/>
    <w:rsid w:val="0027035E"/>
    <w:rsid w:val="00270DC3"/>
    <w:rsid w:val="00292A53"/>
    <w:rsid w:val="002A5246"/>
    <w:rsid w:val="002A5B38"/>
    <w:rsid w:val="002A5E19"/>
    <w:rsid w:val="002C1BCD"/>
    <w:rsid w:val="002D1565"/>
    <w:rsid w:val="002E7325"/>
    <w:rsid w:val="002F2F88"/>
    <w:rsid w:val="0030279E"/>
    <w:rsid w:val="00302BC5"/>
    <w:rsid w:val="00307E4F"/>
    <w:rsid w:val="00311297"/>
    <w:rsid w:val="00326FEB"/>
    <w:rsid w:val="00330B7A"/>
    <w:rsid w:val="00343DCF"/>
    <w:rsid w:val="0035106C"/>
    <w:rsid w:val="00365D91"/>
    <w:rsid w:val="00375759"/>
    <w:rsid w:val="00377486"/>
    <w:rsid w:val="00383A3F"/>
    <w:rsid w:val="003843E8"/>
    <w:rsid w:val="003843F6"/>
    <w:rsid w:val="003844AA"/>
    <w:rsid w:val="00391B2A"/>
    <w:rsid w:val="003A12AF"/>
    <w:rsid w:val="003A7C2C"/>
    <w:rsid w:val="003A7C6B"/>
    <w:rsid w:val="003B5D8E"/>
    <w:rsid w:val="003C5D5F"/>
    <w:rsid w:val="003D1944"/>
    <w:rsid w:val="003D2FD2"/>
    <w:rsid w:val="003D65C4"/>
    <w:rsid w:val="003E33FC"/>
    <w:rsid w:val="003F1922"/>
    <w:rsid w:val="003F72F3"/>
    <w:rsid w:val="003F7521"/>
    <w:rsid w:val="00403D19"/>
    <w:rsid w:val="004048DC"/>
    <w:rsid w:val="00432B53"/>
    <w:rsid w:val="004402B4"/>
    <w:rsid w:val="00445527"/>
    <w:rsid w:val="00445CEF"/>
    <w:rsid w:val="0045428F"/>
    <w:rsid w:val="00476596"/>
    <w:rsid w:val="00483A35"/>
    <w:rsid w:val="004845D7"/>
    <w:rsid w:val="00485B9A"/>
    <w:rsid w:val="00493C17"/>
    <w:rsid w:val="00496154"/>
    <w:rsid w:val="004B5F99"/>
    <w:rsid w:val="004B62CE"/>
    <w:rsid w:val="004F554B"/>
    <w:rsid w:val="005121F0"/>
    <w:rsid w:val="005125A4"/>
    <w:rsid w:val="00512E58"/>
    <w:rsid w:val="0051669D"/>
    <w:rsid w:val="00521560"/>
    <w:rsid w:val="0055376B"/>
    <w:rsid w:val="005537D3"/>
    <w:rsid w:val="00556BDA"/>
    <w:rsid w:val="00565ABC"/>
    <w:rsid w:val="00566650"/>
    <w:rsid w:val="00575A8B"/>
    <w:rsid w:val="00586113"/>
    <w:rsid w:val="005911A9"/>
    <w:rsid w:val="00592954"/>
    <w:rsid w:val="00597090"/>
    <w:rsid w:val="005A65C2"/>
    <w:rsid w:val="005B41B3"/>
    <w:rsid w:val="005C5957"/>
    <w:rsid w:val="005C5F79"/>
    <w:rsid w:val="005D73A7"/>
    <w:rsid w:val="005E7D40"/>
    <w:rsid w:val="005F73CA"/>
    <w:rsid w:val="00606633"/>
    <w:rsid w:val="00621A0C"/>
    <w:rsid w:val="00631C62"/>
    <w:rsid w:val="006545BA"/>
    <w:rsid w:val="006614A7"/>
    <w:rsid w:val="00661CAA"/>
    <w:rsid w:val="00665920"/>
    <w:rsid w:val="00671107"/>
    <w:rsid w:val="00680665"/>
    <w:rsid w:val="006831A8"/>
    <w:rsid w:val="006833E9"/>
    <w:rsid w:val="00684437"/>
    <w:rsid w:val="006A26F2"/>
    <w:rsid w:val="006C0896"/>
    <w:rsid w:val="006C2183"/>
    <w:rsid w:val="006C5E46"/>
    <w:rsid w:val="006C6E7D"/>
    <w:rsid w:val="006C6FDC"/>
    <w:rsid w:val="006D0998"/>
    <w:rsid w:val="006D1D34"/>
    <w:rsid w:val="006D201D"/>
    <w:rsid w:val="006D2938"/>
    <w:rsid w:val="006D5269"/>
    <w:rsid w:val="006E1AFF"/>
    <w:rsid w:val="006E2CDE"/>
    <w:rsid w:val="006E2E8C"/>
    <w:rsid w:val="006F05B3"/>
    <w:rsid w:val="00700D28"/>
    <w:rsid w:val="00702825"/>
    <w:rsid w:val="00724BEE"/>
    <w:rsid w:val="007432E2"/>
    <w:rsid w:val="007441F5"/>
    <w:rsid w:val="00746E40"/>
    <w:rsid w:val="00753F1B"/>
    <w:rsid w:val="00755302"/>
    <w:rsid w:val="007642DC"/>
    <w:rsid w:val="007752C3"/>
    <w:rsid w:val="00784036"/>
    <w:rsid w:val="007854AB"/>
    <w:rsid w:val="007A1A0F"/>
    <w:rsid w:val="007C0D7F"/>
    <w:rsid w:val="007D4013"/>
    <w:rsid w:val="007D5D09"/>
    <w:rsid w:val="007E348F"/>
    <w:rsid w:val="007E5BE7"/>
    <w:rsid w:val="007F21E2"/>
    <w:rsid w:val="007F29F2"/>
    <w:rsid w:val="007F676F"/>
    <w:rsid w:val="0080315F"/>
    <w:rsid w:val="00803246"/>
    <w:rsid w:val="0081003C"/>
    <w:rsid w:val="00810B57"/>
    <w:rsid w:val="00816435"/>
    <w:rsid w:val="0082376F"/>
    <w:rsid w:val="00824EAE"/>
    <w:rsid w:val="00833B1D"/>
    <w:rsid w:val="00836997"/>
    <w:rsid w:val="00843906"/>
    <w:rsid w:val="0086360A"/>
    <w:rsid w:val="00873548"/>
    <w:rsid w:val="00873B01"/>
    <w:rsid w:val="008751A8"/>
    <w:rsid w:val="00881EE7"/>
    <w:rsid w:val="008874FA"/>
    <w:rsid w:val="00890043"/>
    <w:rsid w:val="00897377"/>
    <w:rsid w:val="008A1892"/>
    <w:rsid w:val="008A3ACD"/>
    <w:rsid w:val="008A61CE"/>
    <w:rsid w:val="008C6B9E"/>
    <w:rsid w:val="008D4049"/>
    <w:rsid w:val="008D4D45"/>
    <w:rsid w:val="008D5F22"/>
    <w:rsid w:val="008E1BAA"/>
    <w:rsid w:val="009026A2"/>
    <w:rsid w:val="00904C0E"/>
    <w:rsid w:val="00905B90"/>
    <w:rsid w:val="00910855"/>
    <w:rsid w:val="009216E6"/>
    <w:rsid w:val="009228D1"/>
    <w:rsid w:val="00922984"/>
    <w:rsid w:val="00926273"/>
    <w:rsid w:val="009329E2"/>
    <w:rsid w:val="00933001"/>
    <w:rsid w:val="0093686A"/>
    <w:rsid w:val="0094493C"/>
    <w:rsid w:val="00952CEA"/>
    <w:rsid w:val="00952FAF"/>
    <w:rsid w:val="00962DB5"/>
    <w:rsid w:val="009652F2"/>
    <w:rsid w:val="009709D7"/>
    <w:rsid w:val="0097473B"/>
    <w:rsid w:val="00977F56"/>
    <w:rsid w:val="00994E69"/>
    <w:rsid w:val="00996AFF"/>
    <w:rsid w:val="009A373D"/>
    <w:rsid w:val="009A5254"/>
    <w:rsid w:val="009B083B"/>
    <w:rsid w:val="009B5AC2"/>
    <w:rsid w:val="009E1B03"/>
    <w:rsid w:val="009E6443"/>
    <w:rsid w:val="009F4DFA"/>
    <w:rsid w:val="00A0297D"/>
    <w:rsid w:val="00A065BC"/>
    <w:rsid w:val="00A16978"/>
    <w:rsid w:val="00A175CB"/>
    <w:rsid w:val="00A21A1F"/>
    <w:rsid w:val="00A269B5"/>
    <w:rsid w:val="00A30B98"/>
    <w:rsid w:val="00A31800"/>
    <w:rsid w:val="00A4532D"/>
    <w:rsid w:val="00A51E3F"/>
    <w:rsid w:val="00A5266E"/>
    <w:rsid w:val="00A55968"/>
    <w:rsid w:val="00A62A0E"/>
    <w:rsid w:val="00A639E8"/>
    <w:rsid w:val="00A7221C"/>
    <w:rsid w:val="00A74081"/>
    <w:rsid w:val="00A82EA8"/>
    <w:rsid w:val="00A91F44"/>
    <w:rsid w:val="00A95362"/>
    <w:rsid w:val="00AA0AFA"/>
    <w:rsid w:val="00AA3532"/>
    <w:rsid w:val="00AA423C"/>
    <w:rsid w:val="00AA545A"/>
    <w:rsid w:val="00AA7691"/>
    <w:rsid w:val="00AC096B"/>
    <w:rsid w:val="00AC54C3"/>
    <w:rsid w:val="00AD01ED"/>
    <w:rsid w:val="00AD2A6E"/>
    <w:rsid w:val="00AF3573"/>
    <w:rsid w:val="00AF57B7"/>
    <w:rsid w:val="00B1224C"/>
    <w:rsid w:val="00B2500B"/>
    <w:rsid w:val="00B35DA0"/>
    <w:rsid w:val="00B40397"/>
    <w:rsid w:val="00B4600B"/>
    <w:rsid w:val="00B77C7A"/>
    <w:rsid w:val="00B8275E"/>
    <w:rsid w:val="00B87B56"/>
    <w:rsid w:val="00B906B1"/>
    <w:rsid w:val="00BB0671"/>
    <w:rsid w:val="00BB203D"/>
    <w:rsid w:val="00BB409B"/>
    <w:rsid w:val="00BC53AD"/>
    <w:rsid w:val="00BD1BDD"/>
    <w:rsid w:val="00BD4942"/>
    <w:rsid w:val="00BF7AAA"/>
    <w:rsid w:val="00C03A35"/>
    <w:rsid w:val="00C21457"/>
    <w:rsid w:val="00C45864"/>
    <w:rsid w:val="00C476D1"/>
    <w:rsid w:val="00C50484"/>
    <w:rsid w:val="00C66565"/>
    <w:rsid w:val="00C76714"/>
    <w:rsid w:val="00C82CAB"/>
    <w:rsid w:val="00C873D6"/>
    <w:rsid w:val="00C93A19"/>
    <w:rsid w:val="00C93AD5"/>
    <w:rsid w:val="00CA788E"/>
    <w:rsid w:val="00CB37A6"/>
    <w:rsid w:val="00CB4C4B"/>
    <w:rsid w:val="00CB6C08"/>
    <w:rsid w:val="00CC187E"/>
    <w:rsid w:val="00CC3947"/>
    <w:rsid w:val="00CC6DF0"/>
    <w:rsid w:val="00CC7CE9"/>
    <w:rsid w:val="00CD094B"/>
    <w:rsid w:val="00CD144F"/>
    <w:rsid w:val="00CD45F8"/>
    <w:rsid w:val="00CE7EB2"/>
    <w:rsid w:val="00CF7401"/>
    <w:rsid w:val="00D00F3C"/>
    <w:rsid w:val="00D032DC"/>
    <w:rsid w:val="00D06BBF"/>
    <w:rsid w:val="00D07C3C"/>
    <w:rsid w:val="00D10F47"/>
    <w:rsid w:val="00D1180F"/>
    <w:rsid w:val="00D21C50"/>
    <w:rsid w:val="00D22C19"/>
    <w:rsid w:val="00D268B5"/>
    <w:rsid w:val="00D43E8F"/>
    <w:rsid w:val="00D44CD5"/>
    <w:rsid w:val="00D524FF"/>
    <w:rsid w:val="00D54561"/>
    <w:rsid w:val="00D61840"/>
    <w:rsid w:val="00D717FF"/>
    <w:rsid w:val="00D80A37"/>
    <w:rsid w:val="00D83BDF"/>
    <w:rsid w:val="00D86C1E"/>
    <w:rsid w:val="00D86F4E"/>
    <w:rsid w:val="00D942E9"/>
    <w:rsid w:val="00DA6CCE"/>
    <w:rsid w:val="00DD14EA"/>
    <w:rsid w:val="00DE1F99"/>
    <w:rsid w:val="00DE3F47"/>
    <w:rsid w:val="00DF2609"/>
    <w:rsid w:val="00DF3DF0"/>
    <w:rsid w:val="00E035DC"/>
    <w:rsid w:val="00E067B7"/>
    <w:rsid w:val="00E10FEF"/>
    <w:rsid w:val="00E17262"/>
    <w:rsid w:val="00E209C7"/>
    <w:rsid w:val="00E36100"/>
    <w:rsid w:val="00E502DB"/>
    <w:rsid w:val="00E55A27"/>
    <w:rsid w:val="00E61704"/>
    <w:rsid w:val="00E621F6"/>
    <w:rsid w:val="00E7037F"/>
    <w:rsid w:val="00E82CC3"/>
    <w:rsid w:val="00E93E01"/>
    <w:rsid w:val="00E96113"/>
    <w:rsid w:val="00E96FC8"/>
    <w:rsid w:val="00EA6CCB"/>
    <w:rsid w:val="00EB47E7"/>
    <w:rsid w:val="00ED2F33"/>
    <w:rsid w:val="00ED7824"/>
    <w:rsid w:val="00EF4DAA"/>
    <w:rsid w:val="00F05C93"/>
    <w:rsid w:val="00F127D1"/>
    <w:rsid w:val="00F24D68"/>
    <w:rsid w:val="00F30DB3"/>
    <w:rsid w:val="00F33680"/>
    <w:rsid w:val="00F6056F"/>
    <w:rsid w:val="00F67A77"/>
    <w:rsid w:val="00F81F8E"/>
    <w:rsid w:val="00FA4A5A"/>
    <w:rsid w:val="00FA5FB2"/>
    <w:rsid w:val="00FA6121"/>
    <w:rsid w:val="00FB30BA"/>
    <w:rsid w:val="00FB40F6"/>
    <w:rsid w:val="00FB5DA8"/>
    <w:rsid w:val="00FE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365D"/>
  <w15:docId w15:val="{32A6EE5A-4F3C-4B27-826E-CFC369198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437"/>
  </w:style>
  <w:style w:type="paragraph" w:styleId="Nagwek1">
    <w:name w:val="heading 1"/>
    <w:basedOn w:val="Normalny"/>
    <w:next w:val="Normalny"/>
    <w:link w:val="Nagwek1Znak"/>
    <w:uiPriority w:val="9"/>
    <w:qFormat/>
    <w:rsid w:val="0068443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8443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443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443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443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443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443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443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443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3573"/>
    <w:pPr>
      <w:suppressAutoHyphens/>
      <w:autoSpaceDN w:val="0"/>
      <w:spacing w:after="0" w:line="240" w:lineRule="auto"/>
      <w:textAlignment w:val="baseline"/>
    </w:pPr>
    <w:rPr>
      <w:rFonts w:ascii="Liberation Serif" w:eastAsia="Songti SC" w:hAnsi="Liberation Serif" w:cs="Arial Unicode M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4961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154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961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154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68443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table" w:styleId="Tabela-Siatka">
    <w:name w:val="Table Grid"/>
    <w:basedOn w:val="Standardowy"/>
    <w:uiPriority w:val="39"/>
    <w:rsid w:val="00C47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87B5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68443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4437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443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443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443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443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443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4437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84437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68443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8443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443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684437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684437"/>
    <w:rPr>
      <w:b/>
      <w:bCs/>
    </w:rPr>
  </w:style>
  <w:style w:type="character" w:styleId="Uwydatnienie">
    <w:name w:val="Emphasis"/>
    <w:uiPriority w:val="20"/>
    <w:qFormat/>
    <w:rsid w:val="00684437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684437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8443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8443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443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443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68443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68443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68443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68443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684437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84437"/>
    <w:pPr>
      <w:outlineLvl w:val="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B6C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6C0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6C0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6C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6C0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170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17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E6D28-7355-48FC-931C-05F71B295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6</Pages>
  <Words>1009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2026-01-23T12:06:00Z</dcterms:created>
  <dcterms:modified xsi:type="dcterms:W3CDTF">2026-05-04T08:52:00Z</dcterms:modified>
</cp:coreProperties>
</file>